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民办非企业单位</w:t>
      </w:r>
      <w:r>
        <w:rPr>
          <w:rFonts w:hint="eastAsia" w:ascii="黑体" w:eastAsia="黑体"/>
          <w:sz w:val="32"/>
          <w:szCs w:val="32"/>
          <w:lang w:val="en-US" w:eastAsia="zh-CN"/>
        </w:rPr>
        <w:t>业务</w:t>
      </w:r>
      <w:r>
        <w:rPr>
          <w:rFonts w:hint="eastAsia" w:ascii="黑体" w:eastAsia="黑体"/>
          <w:sz w:val="32"/>
          <w:szCs w:val="32"/>
        </w:rPr>
        <w:t>主管单位的管理职责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《民办非企业单位登记管理暂行条例》（国务院令第251号）明确了民办非企业单位业务主管的职责。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（一）负责民办非企业单位的成立、变更、注销登记；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（二）负责民办非企业单位的思想政治工作、党的建设、财务和人事管理、研讨活动、对外交往、接受境外捐赠资助；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（三）监督、指导民办非企业单位遵守宪法、法律、法规和国家政策，按照章程开展活动；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（四）负责民办非企业单位年度检查的初审；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（五）协助登记管理机关和其他有关部门查处民办非企业单位的违法行为；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（六）会同有关机关指导民办非企业的清算事宜。</w:t>
      </w: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ind w:firstLine="60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以上内容已阅读，我们同意做其业务主管单位。</w:t>
      </w:r>
    </w:p>
    <w:p>
      <w:pPr>
        <w:widowControl/>
        <w:ind w:firstLine="60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ind w:firstLine="4050" w:firstLineChars="135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业务主管单位（盖章）</w:t>
      </w:r>
    </w:p>
    <w:p>
      <w:pPr>
        <w:widowControl/>
        <w:ind w:firstLine="4500" w:firstLineChars="150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ind w:firstLine="4500" w:firstLineChars="150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352FF"/>
    <w:rsid w:val="6EC3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2021-11-11T08:02:00Z</dcterms:created>
  <dc:creator>Administrator</dc:creator>
  <cp:lastModifiedBy>Administrator</cp:lastModifiedBy>
  <dcterms:modified xsi:type="dcterms:W3CDTF">2021-11-11T08:02:45Z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CC9C4A165F504C49BD0AF30F398A0166</vt:lpwstr>
  </property>
</Properties>
</file>